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0B84" w14:textId="77777777" w:rsidR="00C836AC" w:rsidRPr="00997CE4" w:rsidRDefault="00C836AC" w:rsidP="00997CE4">
      <w:pPr>
        <w:pStyle w:val="Default"/>
        <w:jc w:val="both"/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</w:pPr>
    </w:p>
    <w:p w14:paraId="7AE1AD0E" w14:textId="4478A1AC" w:rsidR="004238D8" w:rsidRPr="004238D8" w:rsidRDefault="004238D8" w:rsidP="004238D8">
      <w:pPr>
        <w:pStyle w:val="Default"/>
        <w:spacing w:line="276" w:lineRule="auto"/>
        <w:ind w:right="-285"/>
        <w:jc w:val="center"/>
        <w:rPr>
          <w:rFonts w:asciiTheme="minorHAnsi" w:eastAsia="Times New Roman" w:hAnsiTheme="minorHAnsi" w:cs="Times New Roman"/>
          <w:b/>
          <w:bCs/>
          <w:color w:val="404040" w:themeColor="text1" w:themeTint="BF"/>
          <w:sz w:val="22"/>
          <w:szCs w:val="22"/>
        </w:rPr>
      </w:pPr>
      <w:r w:rsidRPr="004238D8">
        <w:rPr>
          <w:rFonts w:eastAsia="Times New Roman" w:cs="Times New Roman"/>
          <w:b/>
          <w:bCs/>
          <w:color w:val="404040" w:themeColor="text1" w:themeTint="BF"/>
        </w:rPr>
        <w:t xml:space="preserve">Grelha auxiliar de confirmação da completude do pedido de pagamento a preencher </w:t>
      </w:r>
      <w:r w:rsidRPr="004238D8">
        <w:rPr>
          <w:rFonts w:eastAsia="Times New Roman" w:cs="Times New Roman"/>
          <w:b/>
          <w:bCs/>
          <w:color w:val="404040" w:themeColor="text1" w:themeTint="BF"/>
        </w:rPr>
        <w:t>antes de apresentar o pedido de pagamento</w:t>
      </w:r>
    </w:p>
    <w:p w14:paraId="54A1BBC1" w14:textId="77777777" w:rsidR="004238D8" w:rsidRDefault="004238D8" w:rsidP="00667A22">
      <w:pPr>
        <w:pStyle w:val="Default"/>
        <w:spacing w:line="276" w:lineRule="auto"/>
        <w:ind w:right="-285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</w:p>
    <w:p w14:paraId="1A852B89" w14:textId="3EB8DA76" w:rsidR="00667A22" w:rsidRDefault="00667A22" w:rsidP="00667A22">
      <w:pPr>
        <w:pStyle w:val="Default"/>
        <w:spacing w:line="276" w:lineRule="auto"/>
        <w:ind w:right="-285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T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endo por base a informação relativa à operação, a qual deve encontrar-se atualizada, </w:t>
      </w:r>
      <w:r w:rsidR="004238D8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est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a grelha de </w:t>
      </w:r>
      <w: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verificação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constitui mais um instrumento ao serviço dos beneficiários, tendo em vista o aprofundar da apreensão dos princípios e normas que regem a utilização </w:t>
      </w:r>
      <w: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dos fundos europeus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e </w:t>
      </w:r>
      <w: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a identificação de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eventuais não conformidade</w:t>
      </w:r>
      <w: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s</w:t>
      </w:r>
      <w:r w:rsidRPr="00093447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dos procedimentos implementados, e, em consequência, adotar as necessárias medidas corretivas.</w:t>
      </w:r>
    </w:p>
    <w:p w14:paraId="4BE57170" w14:textId="77777777" w:rsidR="00667A22" w:rsidRPr="00093447" w:rsidRDefault="00667A22" w:rsidP="00667A22">
      <w:pPr>
        <w:pStyle w:val="Default"/>
        <w:spacing w:line="276" w:lineRule="auto"/>
        <w:ind w:right="-285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</w:p>
    <w:p w14:paraId="76F8FF27" w14:textId="77777777" w:rsidR="00773FA0" w:rsidRPr="00D31999" w:rsidRDefault="00773FA0" w:rsidP="00407C5F">
      <w:pPr>
        <w:pStyle w:val="Default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Avalie cada item da lista de verificação, colocando uma cruz no quadrado correspondente a uma das</w:t>
      </w:r>
      <w:r w:rsidR="005D7508"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</w:t>
      </w:r>
      <w:r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seguintes situações: </w:t>
      </w:r>
    </w:p>
    <w:p w14:paraId="496175AD" w14:textId="77777777" w:rsidR="005D7508" w:rsidRDefault="005D7508" w:rsidP="00773FA0">
      <w:pPr>
        <w:pStyle w:val="Default"/>
        <w:rPr>
          <w:sz w:val="20"/>
          <w:szCs w:val="20"/>
        </w:rPr>
      </w:pPr>
    </w:p>
    <w:p w14:paraId="3AEC4716" w14:textId="77777777" w:rsidR="00773FA0" w:rsidRPr="00D31999" w:rsidRDefault="00773FA0" w:rsidP="005D7508">
      <w:pPr>
        <w:pStyle w:val="Default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 w:rsidRPr="00997CE4"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  <w:t>C (Conforme</w:t>
      </w:r>
      <w:r w:rsidR="00407C5F" w:rsidRPr="00997CE4"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  <w:t>)</w:t>
      </w:r>
      <w:r w:rsidR="00407C5F">
        <w:rPr>
          <w:sz w:val="22"/>
          <w:szCs w:val="22"/>
        </w:rPr>
        <w:t xml:space="preserve"> – </w:t>
      </w:r>
      <w:r w:rsidR="00407C5F"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o procedimento existe.</w:t>
      </w:r>
    </w:p>
    <w:p w14:paraId="156FFDA6" w14:textId="77777777" w:rsidR="00773FA0" w:rsidRPr="00D31999" w:rsidRDefault="00773FA0" w:rsidP="005D7508">
      <w:pPr>
        <w:pStyle w:val="Default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 w:rsidRPr="00997CE4"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  <w:t>NC (Não Conforme)</w:t>
      </w:r>
      <w:r w:rsidRPr="005D7508">
        <w:rPr>
          <w:sz w:val="22"/>
          <w:szCs w:val="22"/>
        </w:rPr>
        <w:t xml:space="preserve"> – </w:t>
      </w:r>
      <w:r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o procediment</w:t>
      </w:r>
      <w:r w:rsidR="00407C5F"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o não existe ou está incorreto.</w:t>
      </w:r>
    </w:p>
    <w:p w14:paraId="046276F1" w14:textId="77777777" w:rsidR="00773FA0" w:rsidRPr="00D31999" w:rsidRDefault="00773FA0" w:rsidP="005D7508">
      <w:pPr>
        <w:pStyle w:val="Default"/>
        <w:jc w:val="both"/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 w:rsidRPr="00997CE4"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  <w:t>NA (Não Aplicável</w:t>
      </w:r>
      <w:r w:rsidR="00997CE4" w:rsidRPr="00997CE4"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  <w:t>)</w:t>
      </w:r>
      <w:r w:rsidR="00997CE4" w:rsidRPr="005D7508">
        <w:rPr>
          <w:sz w:val="22"/>
          <w:szCs w:val="22"/>
        </w:rPr>
        <w:t xml:space="preserve"> – </w:t>
      </w:r>
      <w:r w:rsidR="00407C5F" w:rsidRPr="00D31999">
        <w:rPr>
          <w:sz w:val="22"/>
          <w:szCs w:val="22"/>
        </w:rPr>
        <w:t>o procedimento</w:t>
      </w:r>
      <w:r w:rsidR="00407C5F" w:rsidRPr="00D31999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 xml:space="preserve"> não se aplica.</w:t>
      </w:r>
    </w:p>
    <w:p w14:paraId="5079A06A" w14:textId="77777777" w:rsidR="005D7508" w:rsidRPr="00997CE4" w:rsidRDefault="005D7508" w:rsidP="00997CE4">
      <w:pPr>
        <w:pStyle w:val="Default"/>
        <w:jc w:val="both"/>
        <w:rPr>
          <w:rFonts w:asciiTheme="minorHAnsi" w:eastAsia="Times New Roman" w:hAnsiTheme="minorHAnsi" w:cs="Times New Roman"/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p w14:paraId="650BEA6E" w14:textId="71A0BC59" w:rsidR="00773FA0" w:rsidRPr="00D31999" w:rsidRDefault="00773FA0" w:rsidP="005D7508">
      <w:pPr>
        <w:jc w:val="both"/>
        <w:rPr>
          <w:rFonts w:eastAsia="Times New Roman" w:cs="Times New Roman"/>
          <w:color w:val="404040" w:themeColor="text1" w:themeTint="BF"/>
        </w:rPr>
      </w:pPr>
      <w:r w:rsidRPr="00D31999">
        <w:rPr>
          <w:rFonts w:eastAsia="Times New Roman" w:cs="Times New Roman"/>
          <w:color w:val="404040" w:themeColor="text1" w:themeTint="BF"/>
        </w:rPr>
        <w:t>Sempre que assinal</w:t>
      </w:r>
      <w:r w:rsidR="00667A22">
        <w:rPr>
          <w:rFonts w:eastAsia="Times New Roman" w:cs="Times New Roman"/>
          <w:color w:val="404040" w:themeColor="text1" w:themeTint="BF"/>
        </w:rPr>
        <w:t>e</w:t>
      </w:r>
      <w:r w:rsidRPr="00D31999">
        <w:rPr>
          <w:rFonts w:eastAsia="Times New Roman" w:cs="Times New Roman"/>
          <w:color w:val="404040" w:themeColor="text1" w:themeTint="BF"/>
        </w:rPr>
        <w:t xml:space="preserve"> a coluna</w:t>
      </w:r>
      <w:r w:rsidRPr="005D7508">
        <w:t xml:space="preserve"> </w:t>
      </w:r>
      <w:r w:rsidRPr="00D31999">
        <w:rPr>
          <w:rFonts w:eastAsia="Times New Roman" w:cs="Times New Roman"/>
          <w:b/>
          <w:color w:val="404040" w:themeColor="text1" w:themeTint="BF"/>
        </w:rPr>
        <w:t>NC (Não Conforme)</w:t>
      </w:r>
      <w:r w:rsidRPr="00D31999">
        <w:rPr>
          <w:rFonts w:eastAsia="Times New Roman" w:cs="Times New Roman"/>
          <w:color w:val="404040" w:themeColor="text1" w:themeTint="BF"/>
        </w:rPr>
        <w:t>,</w:t>
      </w:r>
      <w:r w:rsidRPr="005D7508">
        <w:t xml:space="preserve"> </w:t>
      </w:r>
      <w:r w:rsidRPr="00D31999">
        <w:rPr>
          <w:rFonts w:eastAsia="Times New Roman" w:cs="Times New Roman"/>
          <w:color w:val="404040" w:themeColor="text1" w:themeTint="BF"/>
        </w:rPr>
        <w:t>inscreva na coluna da direita</w:t>
      </w:r>
      <w:r w:rsidRPr="005D7508">
        <w:t xml:space="preserve"> </w:t>
      </w:r>
      <w:r w:rsidRPr="00D31999">
        <w:rPr>
          <w:rFonts w:eastAsia="Times New Roman" w:cs="Times New Roman"/>
          <w:b/>
          <w:color w:val="404040" w:themeColor="text1" w:themeTint="BF"/>
        </w:rPr>
        <w:t>a(s) medida(s) a implementar</w:t>
      </w:r>
      <w:r w:rsidRPr="00D31999">
        <w:rPr>
          <w:rFonts w:eastAsia="Times New Roman" w:cs="Times New Roman"/>
          <w:color w:val="404040" w:themeColor="text1" w:themeTint="BF"/>
        </w:rPr>
        <w:t xml:space="preserve">, </w:t>
      </w:r>
      <w:r w:rsidR="00667A22" w:rsidRPr="004238D8">
        <w:rPr>
          <w:rFonts w:eastAsia="Times New Roman" w:cs="Times New Roman"/>
          <w:b/>
          <w:bCs/>
          <w:color w:val="404040" w:themeColor="text1" w:themeTint="BF"/>
        </w:rPr>
        <w:t>antes de apresentar o pedido de pagamento</w:t>
      </w:r>
    </w:p>
    <w:p w14:paraId="687280BD" w14:textId="77777777" w:rsidR="00F5046A" w:rsidRDefault="00F5046A" w:rsidP="00773FA0">
      <w:pPr>
        <w:jc w:val="both"/>
      </w:pPr>
    </w:p>
    <w:tbl>
      <w:tblPr>
        <w:tblW w:w="55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5"/>
        <w:gridCol w:w="5426"/>
        <w:gridCol w:w="552"/>
        <w:gridCol w:w="6"/>
        <w:gridCol w:w="548"/>
        <w:gridCol w:w="6"/>
        <w:gridCol w:w="546"/>
        <w:gridCol w:w="6"/>
        <w:gridCol w:w="24"/>
        <w:gridCol w:w="1625"/>
      </w:tblGrid>
      <w:tr w:rsidR="00651429" w:rsidRPr="00541DF8" w14:paraId="7DA60792" w14:textId="77777777" w:rsidTr="00667A22">
        <w:trPr>
          <w:cantSplit/>
          <w:trHeight w:val="472"/>
          <w:tblHeader/>
        </w:trPr>
        <w:tc>
          <w:tcPr>
            <w:tcW w:w="3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1CF0B" w14:textId="77777777" w:rsidR="00EF5196" w:rsidRPr="00EF5196" w:rsidRDefault="00EF5196" w:rsidP="00470540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QUESTÕES PRINCIPAIS</w:t>
            </w:r>
          </w:p>
        </w:tc>
        <w:tc>
          <w:tcPr>
            <w:tcW w:w="8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0A08E" w14:textId="77777777" w:rsidR="00EF5196" w:rsidRPr="00EF5196" w:rsidRDefault="00EF5196" w:rsidP="00470540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EF5196">
              <w:rPr>
                <w:b/>
                <w:color w:val="17365D" w:themeColor="text2" w:themeShade="BF"/>
              </w:rPr>
              <w:t>SITUAÇÃO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C2CF8" w14:textId="77777777" w:rsidR="00EF5196" w:rsidRPr="00EF5196" w:rsidRDefault="00EF5196" w:rsidP="00470540">
            <w:pPr>
              <w:spacing w:after="0"/>
              <w:jc w:val="center"/>
              <w:rPr>
                <w:b/>
                <w:color w:val="17365D" w:themeColor="text2" w:themeShade="BF"/>
              </w:rPr>
            </w:pPr>
            <w:r w:rsidRPr="00EF5196">
              <w:rPr>
                <w:b/>
                <w:color w:val="17365D" w:themeColor="text2" w:themeShade="BF"/>
              </w:rPr>
              <w:t>MEDIDAS A IMPLEMENTAR</w:t>
            </w:r>
          </w:p>
        </w:tc>
      </w:tr>
      <w:tr w:rsidR="005B1B0C" w:rsidRPr="000B4185" w14:paraId="466DA636" w14:textId="77777777" w:rsidTr="00667A22">
        <w:trPr>
          <w:cantSplit/>
          <w:trHeight w:val="252"/>
          <w:tblHeader/>
        </w:trPr>
        <w:tc>
          <w:tcPr>
            <w:tcW w:w="3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7D784E" w14:textId="77777777" w:rsidR="00EF5196" w:rsidRPr="000B4185" w:rsidRDefault="00EF5196" w:rsidP="000B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D2360" w14:textId="77777777" w:rsidR="00EF5196" w:rsidRPr="00EF5196" w:rsidRDefault="00EF5196" w:rsidP="00470540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EF5196">
              <w:rPr>
                <w:b/>
                <w:color w:val="17365D" w:themeColor="text2" w:themeShade="BF"/>
              </w:rPr>
              <w:t>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2E7F3" w14:textId="77777777" w:rsidR="00EF5196" w:rsidRPr="00EF5196" w:rsidRDefault="00EF5196" w:rsidP="00470540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EF5196">
              <w:rPr>
                <w:b/>
                <w:color w:val="17365D" w:themeColor="text2" w:themeShade="BF"/>
              </w:rPr>
              <w:t>NC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93976" w14:textId="77777777" w:rsidR="00EF5196" w:rsidRPr="00EF5196" w:rsidRDefault="00EF5196" w:rsidP="00470540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EF5196">
              <w:rPr>
                <w:b/>
                <w:color w:val="17365D" w:themeColor="text2" w:themeShade="BF"/>
              </w:rPr>
              <w:t>NA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2E11CD" w14:textId="77777777" w:rsidR="00EF5196" w:rsidRPr="00EF5196" w:rsidRDefault="00EF5196" w:rsidP="00EF5196">
            <w:pPr>
              <w:spacing w:before="120" w:after="120" w:line="240" w:lineRule="auto"/>
              <w:jc w:val="center"/>
              <w:rPr>
                <w:b/>
                <w:color w:val="17365D" w:themeColor="text2" w:themeShade="BF"/>
              </w:rPr>
            </w:pPr>
          </w:p>
        </w:tc>
      </w:tr>
      <w:tr w:rsidR="00D306A1" w:rsidRPr="00407C5F" w14:paraId="4E9FD285" w14:textId="77777777" w:rsidTr="00014A7E">
        <w:trPr>
          <w:cantSplit/>
          <w:trHeight w:val="4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28B89" w14:textId="77777777" w:rsidR="00D306A1" w:rsidRPr="00407C5F" w:rsidRDefault="00D306A1" w:rsidP="00D40FE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17365D" w:themeColor="text2" w:themeShade="BF"/>
              </w:rPr>
              <w:t>MATÉRIAS TRANSVERSAIS</w:t>
            </w:r>
          </w:p>
        </w:tc>
      </w:tr>
      <w:tr w:rsidR="00D306A1" w:rsidRPr="00407C5F" w14:paraId="49AD7035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F670D" w14:textId="3E669892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0A14" w14:textId="77777777" w:rsidR="00D306A1" w:rsidRPr="00651429" w:rsidRDefault="00D306A1" w:rsidP="00D4341F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Ambiente e Licenças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C8F7C" w14:textId="77777777" w:rsidR="00D306A1" w:rsidRPr="004A31F3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974C4" w14:textId="77777777" w:rsidR="00D306A1" w:rsidRPr="004A31F3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1728B" w14:textId="77777777" w:rsidR="00D306A1" w:rsidRPr="004A31F3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43B8C" w14:textId="77777777" w:rsidR="00D306A1" w:rsidRPr="004A31F3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0A510484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66EF5" w14:textId="77777777" w:rsidR="00D306A1" w:rsidRPr="00D4341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6E57" w14:textId="77777777" w:rsidR="00D306A1" w:rsidRPr="00D4341F" w:rsidRDefault="00D306A1" w:rsidP="00D4341F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Aprovação do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(s)</w:t>
            </w: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projeto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(s) técnicos pelas </w:t>
            </w: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de entidades externas competentes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4E86E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A24B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0B62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9D6C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399542E2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6EBFB" w14:textId="77777777" w:rsidR="00D306A1" w:rsidRPr="00D4341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E695" w14:textId="77777777" w:rsidR="00D306A1" w:rsidRPr="00D4341F" w:rsidRDefault="00D306A1" w:rsidP="00D4341F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Localização (PDM/Rede Natura/REN/RAN/Domínio Hídrico)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5B94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F6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68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02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6DA03683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3B0F8" w14:textId="77777777" w:rsidR="00D306A1" w:rsidRPr="00D4341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DDE8" w14:textId="77777777" w:rsidR="00D306A1" w:rsidRPr="00D4341F" w:rsidRDefault="00D306A1" w:rsidP="00D4341F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Ambiente [DIA/Avaliação estratégica/Licenciamento Ambiental (Prevenção e Controlo Integrado da Poluição - PCIP)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Utilização de recursos hídricos/Gestão de resíduos]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CF8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EAAB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BA8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77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1B5D4149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830F5" w14:textId="77777777" w:rsidR="00D306A1" w:rsidRPr="00D4341F" w:rsidRDefault="00D306A1" w:rsidP="0006690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A19" w14:textId="77777777" w:rsidR="00D306A1" w:rsidRPr="00D4341F" w:rsidRDefault="00D306A1" w:rsidP="00651429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4341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Licenciamento da atividade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7BC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44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CDA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FB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306A1" w:rsidRPr="00407C5F" w14:paraId="17B89053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E5FA4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066906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F36A" w14:textId="77777777" w:rsidR="00D306A1" w:rsidRPr="00066906" w:rsidRDefault="00D306A1" w:rsidP="00651429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066906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Urbanização e edificação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056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B8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DC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9D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033AB6CC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578E0" w14:textId="00F7E4CC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01D" w14:textId="77777777" w:rsidR="00D306A1" w:rsidRPr="00651429" w:rsidRDefault="00D306A1" w:rsidP="00407C5F">
            <w:pPr>
              <w:spacing w:before="60" w:after="60" w:line="240" w:lineRule="auto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Terrenos e Imóveis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A27A1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6690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AF33F0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6690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86B6E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6690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E54DE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66906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306A1" w:rsidRPr="00407C5F" w14:paraId="450C1441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36408" w14:textId="77777777" w:rsidR="00D306A1" w:rsidRPr="00066906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066906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8265" w14:textId="77777777" w:rsidR="00D306A1" w:rsidRPr="00066906" w:rsidRDefault="00D306A1" w:rsidP="00651429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066906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Registo de propriedade ou Autorização para intervir no terreno/imóvel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40E11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96EA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68D8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1E8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33F945DF" w14:textId="77777777" w:rsidTr="00014A7E">
        <w:trPr>
          <w:cantSplit/>
          <w:trHeight w:val="4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E889BF" w14:textId="77777777" w:rsidR="00D306A1" w:rsidRPr="00407C5F" w:rsidRDefault="00D306A1" w:rsidP="00014A7E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17365D" w:themeColor="text2" w:themeShade="BF"/>
              </w:rPr>
              <w:t>EXECUÇÃO</w:t>
            </w:r>
          </w:p>
        </w:tc>
      </w:tr>
      <w:tr w:rsidR="00D306A1" w:rsidRPr="00407C5F" w14:paraId="5D75EBB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A3B8C" w14:textId="77777777" w:rsidR="00D306A1" w:rsidRPr="00FA1DEF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A1DEF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6B43" w14:textId="77777777" w:rsidR="00D306A1" w:rsidRPr="002A293A" w:rsidRDefault="00D306A1" w:rsidP="00631B8E">
            <w:pPr>
              <w:spacing w:before="60" w:after="60" w:line="240" w:lineRule="auto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Formulários de </w:t>
            </w:r>
            <w:r w:rsidRPr="002A293A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Pedidos de Pagamento</w:t>
            </w: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(PP) e respetivos anexos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B77D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18F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B0C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BDE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20560CE4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FA930" w14:textId="77777777" w:rsidR="00D306A1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A5FA5" w14:textId="77777777" w:rsidR="00D306A1" w:rsidRDefault="00D306A1" w:rsidP="007B2366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D22B7C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As listagens de despesa encontram-se corretamente preenchidas</w:t>
            </w:r>
          </w:p>
          <w:p w14:paraId="15E4022E" w14:textId="77777777" w:rsidR="00D306A1" w:rsidRPr="00D22B7C" w:rsidRDefault="00D306A1" w:rsidP="007B2366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D22B7C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(reportam a informação constante da documentaç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ão relativa à operação; sem duplicações</w:t>
            </w:r>
            <w:r w:rsidRPr="00D22B7C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44BE4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57F9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C5C0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0582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4E6AA426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2710C" w14:textId="45FB9917" w:rsidR="00D306A1" w:rsidRPr="00FA1DEF" w:rsidRDefault="00667A22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A33E" w14:textId="77777777" w:rsidR="00D306A1" w:rsidRPr="007B2366" w:rsidRDefault="00D306A1" w:rsidP="00590A30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Despesa executada (a incluir / incluída nos PP)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E38BF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3CC36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DD868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3EEBD" w14:textId="77777777" w:rsidR="00D306A1" w:rsidRPr="004A31F3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1718F976" w14:textId="77777777" w:rsidTr="00667A22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1753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lastRenderedPageBreak/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BCF8" w14:textId="77777777" w:rsidR="00D306A1" w:rsidRDefault="00D306A1" w:rsidP="00E1752B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 despesa encontra-se sustentada e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m documentos probatórios válidos</w:t>
            </w:r>
          </w:p>
          <w:p w14:paraId="65454CA2" w14:textId="77777777" w:rsidR="00D306A1" w:rsidRPr="00E1752B" w:rsidRDefault="00D306A1" w:rsidP="00B00F42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faturas ou documentos equivalentes, fiscalmente aceites; enquadradas por </w:t>
            </w:r>
            <w:r w:rsidRPr="00E1752B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documentação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E1752B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base referida no ponto 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4 infra; autos de medição</w:t>
            </w:r>
            <w:r w:rsidRPr="00E1752B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9DB30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A8F56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9BA58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EB595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2C61A124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6DFBC" w14:textId="77777777" w:rsidR="00D306A1" w:rsidRPr="00E1752B" w:rsidRDefault="00D306A1" w:rsidP="00D22B7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620E28" w14:textId="7ACB7912" w:rsidR="00D306A1" w:rsidRPr="00E1752B" w:rsidRDefault="00D306A1" w:rsidP="00667A22">
            <w:pPr>
              <w:spacing w:before="60" w:after="60" w:line="240" w:lineRule="auto"/>
              <w:ind w:left="408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Os documentos de despesa foram emitidos após a realização material da despesa 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C5ECB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174707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0CBEDF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033700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38E4E71A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FA703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66FC20" w14:textId="77777777" w:rsidR="00D306A1" w:rsidRPr="00E1752B" w:rsidRDefault="00D306A1" w:rsidP="00667A22">
            <w:pPr>
              <w:spacing w:before="60" w:after="60" w:line="240" w:lineRule="auto"/>
              <w:ind w:left="125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Os documentos de despesa e</w:t>
            </w:r>
            <w:r w:rsidRPr="00590A30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ncontram-se emitidos em nome do beneficiário da operação</w:t>
            </w: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/ e</w:t>
            </w:r>
            <w:r w:rsidRPr="00590A30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videnci</w:t>
            </w: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 xml:space="preserve">am uma correta descrição do bem ou </w:t>
            </w:r>
            <w:r w:rsidRPr="00590A30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serviço transacionado</w:t>
            </w: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/ c</w:t>
            </w:r>
            <w:r w:rsidRPr="00590A30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umprem o estabelecido no artigo 36.º do CIVA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E32FE4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B1169F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D8E9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1496AB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18C2C318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2A723" w14:textId="77777777" w:rsidR="00D306A1" w:rsidRPr="00E1752B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52C99F" w14:textId="2C5781AB" w:rsidR="00D306A1" w:rsidRPr="00E1752B" w:rsidRDefault="00D306A1" w:rsidP="00667A22">
            <w:pPr>
              <w:spacing w:before="60" w:after="60" w:line="240" w:lineRule="auto"/>
              <w:ind w:left="125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Foram considerados (abatidos) nas listagens anexas aos Pedidos de Pagamento eventuais descontos/Notas de crédito</w:t>
            </w:r>
            <w:r w:rsidR="00667A22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relacionados com a despesa apresentada a cofinanciamento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0DC5C8" w14:textId="77777777" w:rsidR="00D306A1" w:rsidRPr="00E1752B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696E95" w14:textId="77777777" w:rsidR="00D306A1" w:rsidRPr="00E1752B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43DAC" w14:textId="77777777" w:rsidR="00D306A1" w:rsidRPr="00E1752B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7EA668" w14:textId="77777777" w:rsidR="00D306A1" w:rsidRPr="00E1752B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1CEA558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324FF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6F03BC" w14:textId="77777777" w:rsidR="00D306A1" w:rsidRPr="005754D2" w:rsidRDefault="00D306A1" w:rsidP="00590A3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As despesas foram realizadas no âmbito do projeto e en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quadram-se nos termos aprovados </w:t>
            </w: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(componentes, período, natureza)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EF0683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D99773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93D1AC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DF847B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754D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29481AB7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0C728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52792" w14:textId="5FA7E415" w:rsidR="00D306A1" w:rsidRPr="00667A22" w:rsidRDefault="00D306A1" w:rsidP="00667A22">
            <w:pPr>
              <w:spacing w:before="60" w:after="60" w:line="240" w:lineRule="auto"/>
              <w:ind w:left="125"/>
              <w:jc w:val="both"/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</w:pPr>
            <w:r w:rsidRPr="00667A22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Caso existam despesas com pessoal, existem time-sheets/mapas de pessoal, que permitam evidenciar, d</w:t>
            </w:r>
            <w:r w:rsidR="00667A22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e</w:t>
            </w:r>
            <w:r w:rsidRPr="00667A22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 xml:space="preserve"> forma clara e inequívoca, a imputação dos tempos de trabalho/tarefas à operação, por funcionário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0BBDF1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829F58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27AFCF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9084EC" w14:textId="77777777" w:rsidR="00D306A1" w:rsidRPr="005754D2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4F99DBDC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5B52C" w14:textId="77777777" w:rsidR="00D306A1" w:rsidRPr="005754D2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7438E4" w14:textId="77777777" w:rsidR="00D306A1" w:rsidRPr="00667A22" w:rsidRDefault="00D306A1" w:rsidP="00667A22">
            <w:pPr>
              <w:spacing w:before="60" w:after="60" w:line="240" w:lineRule="auto"/>
              <w:ind w:left="125"/>
              <w:jc w:val="both"/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</w:pPr>
            <w:r w:rsidRPr="00667A22"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  <w:t>Caso tenham sido aplicadas taxas de imputação, encontram-se as mesmas formalizadas e devidamente aprovadas, sendo os seus critérios base objetivos, razoáveis e demonstráveis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B76FD9" w14:textId="77777777" w:rsidR="00D306A1" w:rsidRPr="005754D2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4ABCC4" w14:textId="77777777" w:rsidR="00D306A1" w:rsidRPr="005754D2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385217" w14:textId="77777777" w:rsidR="00D306A1" w:rsidRPr="005754D2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B2209C" w14:textId="77777777" w:rsidR="00D306A1" w:rsidRPr="005754D2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5F97AFC4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462EF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A446C3" w14:textId="77777777" w:rsidR="00D306A1" w:rsidRPr="001D2FC0" w:rsidRDefault="00D306A1" w:rsidP="000B4EC2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As despesas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cumprem os requisitos de elegibilidade normativa (regras e limites) plasmados no Aviso </w:t>
            </w:r>
            <w:r w:rsidRPr="001D2FC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para apresentação de candidaturas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e no respetivo Regulamento Específico (despesas elegíveis e não elegíveis)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3B7BD0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098D4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7E2898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E851D3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435370B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EE12C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512F32" w14:textId="77777777" w:rsidR="00D306A1" w:rsidRPr="00E1752B" w:rsidRDefault="00D306A1" w:rsidP="00590A3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Os originais dos documentos de despesa encontram-se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disponíveis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8C85AE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F128FE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BE8EBD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76A2E1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1C90C25E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93583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26D289" w14:textId="77777777" w:rsidR="00D306A1" w:rsidRDefault="00D306A1" w:rsidP="00590A3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175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 despesa encontra-se efetivamente paga</w:t>
            </w:r>
          </w:p>
          <w:p w14:paraId="516793A1" w14:textId="77777777" w:rsidR="00D306A1" w:rsidRPr="00F701B7" w:rsidRDefault="00D306A1" w:rsidP="00B633E0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F701B7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(aferição através de extratos bancários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/outros – cheques; ordens de </w:t>
            </w:r>
            <w:proofErr w:type="gramStart"/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pagamento;…</w:t>
            </w:r>
            <w:proofErr w:type="gramEnd"/>
            <w:r w:rsidRPr="00F701B7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977ABB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4C195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7534C4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75F6F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5DA15EF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590D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e.1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CE3DCE" w14:textId="65F98A85" w:rsidR="00D306A1" w:rsidRPr="00667A22" w:rsidRDefault="00667A22" w:rsidP="00667A22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Cs/>
                <w:color w:val="505050"/>
                <w:sz w:val="18"/>
                <w:szCs w:val="16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 despesa foi incorrida e o</w:t>
            </w:r>
            <w:r w:rsidR="00D306A1" w:rsidRPr="00667A2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s pagamentos foram efetuados dentro do período de execução aprovado para a operação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(período entre a data de início e data de fim que consta do termo de aceitação)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6123B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9627CA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815FBB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423969" w14:textId="77777777" w:rsidR="00D306A1" w:rsidRPr="00E1752B" w:rsidRDefault="00D306A1" w:rsidP="00590A3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71A8728B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5F4B1" w14:textId="77777777" w:rsidR="00D306A1" w:rsidRPr="00FA1DEF" w:rsidRDefault="00D306A1" w:rsidP="00014A7E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A1DEF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98A" w14:textId="77777777" w:rsidR="00D306A1" w:rsidRPr="004A31F3" w:rsidRDefault="00D306A1" w:rsidP="002D5653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Documentação que funda</w:t>
            </w: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menta e comprova a formação e execução dos c</w:t>
            </w:r>
            <w:r w:rsidRPr="00C96F02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ontratos q</w:t>
            </w: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ue enquadram a despesa executada</w:t>
            </w:r>
            <w:r w:rsidRPr="00C96F02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(desde a sua abertura até à conclusão)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438A9" w14:textId="77777777" w:rsidR="00D306A1" w:rsidRPr="004A31F3" w:rsidRDefault="00D306A1" w:rsidP="00014A7E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6E89F4" w14:textId="77777777" w:rsidR="00D306A1" w:rsidRPr="004A31F3" w:rsidRDefault="00D306A1" w:rsidP="00014A7E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F3851" w14:textId="77777777" w:rsidR="00D306A1" w:rsidRPr="004A31F3" w:rsidRDefault="00D306A1" w:rsidP="00014A7E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08419" w14:textId="77777777" w:rsidR="00D306A1" w:rsidRPr="004A31F3" w:rsidRDefault="00D306A1" w:rsidP="00014A7E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651429" w14:paraId="3FD7D63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38EE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E033" w14:textId="77777777" w:rsidR="00D306A1" w:rsidRDefault="00D306A1" w:rsidP="00CF343C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Quando sujeitos ao Código dos Contratos Públicos (CCP), foram cumpridas as disposições previstas na legislação em vigor, nomeadamente, em matéria de:</w:t>
            </w:r>
          </w:p>
          <w:p w14:paraId="6BE0C0EB" w14:textId="77777777" w:rsidR="00D306A1" w:rsidRPr="0079309C" w:rsidRDefault="00D306A1" w:rsidP="00CF343C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(</w:t>
            </w:r>
            <w:r w:rsidRPr="0079309C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Sujeição:</w:t>
            </w:r>
          </w:p>
          <w:p w14:paraId="2855E0A6" w14:textId="77777777" w:rsidR="00D306A1" w:rsidRDefault="00D306A1" w:rsidP="00CF343C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</w:pP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Artigo 2.º (Entidades adjudicantes);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Artigo 7.º (Entidades adjudicantes setores da água, da energia, dos transportes e dos serviços postais);</w:t>
            </w:r>
          </w:p>
          <w:p w14:paraId="0197FBBA" w14:textId="77777777" w:rsidR="00D306A1" w:rsidRDefault="00D306A1" w:rsidP="00CF343C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Quanto à eventual extensão do âmbito de aplicação:</w:t>
            </w:r>
          </w:p>
          <w:p w14:paraId="3EA0C39F" w14:textId="77777777" w:rsidR="00D306A1" w:rsidRPr="00CF343C" w:rsidRDefault="00D306A1" w:rsidP="00CF343C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Artig</w:t>
            </w:r>
            <w:r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 xml:space="preserve">o 275.º (contratos subsidiados - atenção à possível aplicabilidade a entidades privadas - ver artigo); </w:t>
            </w: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Artigo 276.º (concessionários de obras públicas que nã</w:t>
            </w:r>
            <w:r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o sejam entidades adjudicantes)</w:t>
            </w: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 xml:space="preserve"> e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CF343C"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>Artigo 277.º (entidades beneficiárias de direitos especiais ou exclusivos no exercício de</w:t>
            </w:r>
            <w:r>
              <w:rPr>
                <w:rFonts w:ascii="Calibri" w:eastAsia="Times New Roman" w:hAnsi="Calibri" w:cs="Arial"/>
                <w:i/>
                <w:color w:val="404040"/>
                <w:sz w:val="18"/>
                <w:szCs w:val="16"/>
                <w:lang w:eastAsia="en-GB"/>
              </w:rPr>
              <w:t xml:space="preserve"> atividades de serviço público))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D7551" w14:textId="77777777" w:rsidR="00D306A1" w:rsidRPr="00651429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A7F77" w14:textId="77777777" w:rsidR="00D306A1" w:rsidRPr="00651429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8C64E" w14:textId="77777777" w:rsidR="00D306A1" w:rsidRPr="00651429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C8284" w14:textId="77777777" w:rsidR="00D306A1" w:rsidRPr="00651429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2D442A42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4315FD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lastRenderedPageBreak/>
              <w:t>a.1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AF6259" w14:textId="77777777" w:rsidR="00D306A1" w:rsidRDefault="00D306A1" w:rsidP="00E952E7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35332C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Processo de abertura do procedimento (determinação do valor base do contrato, autorização da despesa, aprovação do tipo e peças do procedimento)</w:t>
            </w:r>
          </w:p>
          <w:p w14:paraId="715CEF8F" w14:textId="77777777" w:rsidR="00D306A1" w:rsidRPr="00405907" w:rsidRDefault="00D306A1" w:rsidP="00E952E7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405907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(Aspetos relevantes a verificar: escolha correta do tipo de procedimento, 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legalidade dos critérios de qualificação e/ou adjudicação, eventual fracionamento)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5F2B2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62CE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6C38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47A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4A50253A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15EAFD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E4AA8E" w14:textId="77777777" w:rsidR="00D306A1" w:rsidRPr="0035332C" w:rsidRDefault="00D306A1" w:rsidP="004C4E05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35332C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Esclarecimentos, erros e omissões (apresentações dos interessados e respostas)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, cumprimento de prazos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6FB75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A6A5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D75B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15C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1177ECC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B0EE0B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A9233E" w14:textId="77777777" w:rsidR="00D306A1" w:rsidRPr="00C96F02" w:rsidRDefault="00D306A1" w:rsidP="00E952E7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952E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Processo de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adjudicação do contrato (relatórios de análise, audiência prévia e apreciação de alegações)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B9D61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8198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77D8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83E3A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61E05226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C421A8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4BF1D0" w14:textId="77777777" w:rsidR="00D306A1" w:rsidRPr="00C96F02" w:rsidRDefault="00D306A1" w:rsidP="00C96F02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Contrato (caução, documentos de habilitação, notificações, visto do TC,)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8892D9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68A51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5061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770D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093461E2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BC739D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AC38E2" w14:textId="77777777" w:rsidR="00D306A1" w:rsidRDefault="00D306A1" w:rsidP="00C96F02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Fluxo (tramitação do procedimento)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0F10D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5E0AC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8F4C9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395B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3AE1844B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BD612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4882" w14:textId="77777777" w:rsidR="00D306A1" w:rsidRPr="00C96F02" w:rsidRDefault="00D306A1" w:rsidP="00C96F02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Execução (Autos de consignação e receção provisória, modificações ao contrato, subcontratação, conta final)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A602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38C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A26C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06AA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27C32E8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9D1798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9F2711" w14:textId="77777777" w:rsidR="00D306A1" w:rsidRPr="00C96F02" w:rsidRDefault="00D306A1" w:rsidP="00C96F02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952E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Divulgação/Publicidade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(abertura, contrato, conta final)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AA92F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4D4C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31E2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955F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133A1A" w14:paraId="241D9741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F147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F5A7" w14:textId="77777777" w:rsidR="00D306A1" w:rsidRPr="00133A1A" w:rsidRDefault="00D306A1" w:rsidP="00133A1A">
            <w:pPr>
              <w:spacing w:before="60" w:after="60" w:line="240" w:lineRule="auto"/>
              <w:jc w:val="both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Quando não sujeitos ao CCP, estão assegurados:</w:t>
            </w:r>
            <w:r w:rsidRPr="00133A1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5DEBC" w14:textId="77777777" w:rsidR="00D306A1" w:rsidRPr="00133A1A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3A1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EAEAF" w14:textId="77777777" w:rsidR="00D306A1" w:rsidRPr="00133A1A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3A1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047FD" w14:textId="77777777" w:rsidR="00D306A1" w:rsidRPr="00133A1A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3A1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69BA3" w14:textId="77777777" w:rsidR="00D306A1" w:rsidRPr="00133A1A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3A1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67A69D52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4066B1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B0521E" w14:textId="77777777" w:rsidR="00D306A1" w:rsidRPr="00C96F02" w:rsidRDefault="00D306A1" w:rsidP="00864E59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Se diferentes dos apresentados em Candidatura - </w:t>
            </w:r>
            <w:r w:rsidRPr="00DB536C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Orçamentos, Propostas (e correspondência subjacente) /Consultas de mercado / Dados históricos da entidade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4B1D1E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8E809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A5679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121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73812B9B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E4FFE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B11E" w14:textId="77777777" w:rsidR="00D306A1" w:rsidRPr="00C96F02" w:rsidRDefault="00D306A1" w:rsidP="00864E59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Habilitação</w:t>
            </w: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dos fornecedores / prestadores de serviço, </w:t>
            </w: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para o desenvolvimento da(s) atividade(s)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ao nível do enquadramento na respetiva </w:t>
            </w: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CAE / Curriculum Vitae / Certificações espec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íficas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B0D4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8231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6F1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7E4E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084D3ED9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72DF22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E6DEB5" w14:textId="77777777" w:rsidR="00D306A1" w:rsidRPr="00C96F02" w:rsidRDefault="00D306A1" w:rsidP="00C96F02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Custo de mercado/Justo valor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(razoabilidade dos custos)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FAD14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B264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91078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A3C9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28491713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70C2BB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EB46BD" w14:textId="77777777" w:rsidR="00D306A1" w:rsidRPr="00C96F02" w:rsidRDefault="00D306A1" w:rsidP="001A633E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Os princípios da concorrência, transparência e igualdade de tratamento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05B374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271C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318F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193A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594FAE8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07055A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65122F" w14:textId="77777777" w:rsidR="00D306A1" w:rsidRPr="00C96F02" w:rsidRDefault="00D306A1" w:rsidP="001A633E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C96F02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Igualdade de oportunidades e inexistência de conflito de interesses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77494C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3D99B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FBF7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1F062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50DC444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E6489A" w14:textId="77777777" w:rsidR="00D306A1" w:rsidRPr="00C96F02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7C2F8E" w14:textId="77777777" w:rsidR="00D306A1" w:rsidRPr="00C96F02" w:rsidRDefault="00D306A1" w:rsidP="001A633E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Execução (Autos de entrega de bens, guias de transporte, outros documentos comprovativos da entrega/execução)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396535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C573A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360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4318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A31F3" w14:paraId="2E4A39D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55CBF" w14:textId="77777777" w:rsidR="00D306A1" w:rsidRPr="00FA1DEF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A1DEF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E140" w14:textId="0CF6F3BC" w:rsidR="00D306A1" w:rsidRPr="007B2366" w:rsidRDefault="00D306A1" w:rsidP="00315C60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Recebimento dos subsídios</w:t>
            </w:r>
            <w:r w:rsidR="00D255F5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já pagos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55A99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816D48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A4ADC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69C62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A31F3" w14:paraId="2DED9958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A9A17" w14:textId="77777777" w:rsidR="00D306A1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65725" w14:textId="77777777" w:rsidR="00D306A1" w:rsidRPr="006B2B26" w:rsidRDefault="00D306A1" w:rsidP="00315C6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27659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Comunicação do processamento do pagamento pela Entidade Pagadora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A0AC5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09CC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B5F7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C349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A31F3" w14:paraId="00F8D763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085EF" w14:textId="77777777" w:rsidR="00D306A1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EE7CE" w14:textId="77777777" w:rsidR="00D306A1" w:rsidRPr="006B2B26" w:rsidRDefault="00D306A1" w:rsidP="00315C6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27659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Extratos bancários do recebimento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FBCB3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0A66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D00F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A398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686094AC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BAA48" w14:textId="77777777" w:rsidR="00D306A1" w:rsidRPr="00FA1DEF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8AA2" w14:textId="77777777" w:rsidR="00D306A1" w:rsidRPr="004A31F3" w:rsidRDefault="00D306A1" w:rsidP="003A3D7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Os r</w:t>
            </w:r>
            <w:r w:rsidRPr="003A3D70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egistos contabilísticos </w:t>
            </w: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estão </w:t>
            </w:r>
            <w:r w:rsidRPr="003A3D70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de acordo com as normas </w:t>
            </w: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aplicáveis </w:t>
            </w:r>
            <w:r w:rsidRPr="003A3D70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em vigor, referentes, nomeadamente a: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36588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AF5D6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5EE15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5B5F37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399E4AF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8690" w14:textId="77777777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</w:t>
            </w:r>
            <w:r w:rsidRPr="00FA1DE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3AB8" w14:textId="77777777" w:rsidR="00D306A1" w:rsidRPr="00407C5F" w:rsidRDefault="00D306A1" w:rsidP="00407C5F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344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Contabilização dos subsídios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8A11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35E4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8131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13A1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5B3590" w14:paraId="3342BC45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B714" w14:textId="77777777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</w:t>
            </w:r>
            <w:r w:rsidRPr="00FA1DE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1E3C" w14:textId="77777777" w:rsidR="00D306A1" w:rsidRPr="005B3590" w:rsidRDefault="00D306A1" w:rsidP="005B3590">
            <w:pPr>
              <w:spacing w:before="60" w:after="60" w:line="240" w:lineRule="auto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Contabilização da </w:t>
            </w:r>
            <w:r w:rsidRPr="005B359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Despesa/IVA /Pagamentos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a fornecedores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59E77" w14:textId="77777777" w:rsidR="00D306A1" w:rsidRPr="005B3590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B359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D1DB0" w14:textId="77777777" w:rsidR="00D306A1" w:rsidRPr="005B3590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B359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8B658" w14:textId="77777777" w:rsidR="00D306A1" w:rsidRPr="005B3590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B359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7F36F" w14:textId="77777777" w:rsidR="00D306A1" w:rsidRPr="005B3590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5B3590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4C80748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5C71" w14:textId="77777777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</w:t>
            </w:r>
            <w:r w:rsidRPr="00FA1DE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1486" w14:textId="77777777" w:rsidR="00D306A1" w:rsidRPr="0039762B" w:rsidRDefault="00D306A1" w:rsidP="00407C5F">
            <w:pPr>
              <w:spacing w:before="60" w:after="60" w:line="240" w:lineRule="auto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3976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Balancetes analíticos/IES/Relatórios de Contas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5185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B72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20C76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4C96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4A8E7B8C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5C69" w14:textId="77777777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0893" w14:textId="77777777" w:rsidR="00D306A1" w:rsidRPr="0039762B" w:rsidRDefault="00D306A1" w:rsidP="00407C5F">
            <w:pPr>
              <w:spacing w:before="60" w:after="60" w:line="240" w:lineRule="auto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3976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Mapa de inventário/depreciações amortizações 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9E6D7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98E43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3771A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D2DAF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7C5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6A1" w:rsidRPr="00407C5F" w14:paraId="495144D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6960E" w14:textId="77777777" w:rsidR="00D306A1" w:rsidRPr="00FA1DE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f</w:t>
            </w:r>
            <w:r w:rsidRPr="00FA1DE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77C03" w14:textId="77777777" w:rsidR="00D306A1" w:rsidRPr="0039762B" w:rsidRDefault="00D306A1" w:rsidP="00407C5F">
            <w:pPr>
              <w:spacing w:before="60" w:after="60" w:line="240" w:lineRule="auto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39762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Registos da especialização do(s) exercício(s)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3D72A0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6367ED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96B60E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D31172" w14:textId="77777777" w:rsidR="00D306A1" w:rsidRPr="00407C5F" w:rsidRDefault="00D306A1" w:rsidP="00407C5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06A1" w:rsidRPr="00407C5F" w14:paraId="55146A37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BB544" w14:textId="77777777" w:rsidR="00D306A1" w:rsidRPr="00FA1DEF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C986" w14:textId="77777777" w:rsidR="00D306A1" w:rsidRPr="004A31F3" w:rsidRDefault="00D306A1" w:rsidP="00F67C39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B420A7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Cumprimento de outras condições estabelecidas no Termo de Aceitação / Decisão de Financiamento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0C8A8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ED0F6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357D7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DB138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7A11FDE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94A7" w14:textId="77777777" w:rsidR="00D306A1" w:rsidRPr="00F67C39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lastRenderedPageBreak/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87E3" w14:textId="77777777" w:rsidR="00D306A1" w:rsidRDefault="00D306A1" w:rsidP="00093447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T</w:t>
            </w:r>
            <w:r w:rsidRPr="0009344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odas as obrigações decorrentes do Termo de Aceitação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/ Decisão de financiamento estão a ser cumpridas</w:t>
            </w:r>
          </w:p>
          <w:p w14:paraId="4CE3D24D" w14:textId="77777777" w:rsidR="00D306A1" w:rsidRPr="00093447" w:rsidRDefault="00D306A1" w:rsidP="00093447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Para além das </w:t>
            </w:r>
            <w:proofErr w:type="gramStart"/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supra referidas</w:t>
            </w:r>
            <w:proofErr w:type="gramEnd"/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, nomeadamente: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7AEB6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654AF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AB8BDF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1E319" w14:textId="77777777" w:rsidR="00D306A1" w:rsidRPr="004A31F3" w:rsidRDefault="00D306A1" w:rsidP="00315C60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52B621EC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C172" w14:textId="77777777" w:rsidR="00D306A1" w:rsidRPr="00F67C39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0390" w14:textId="77777777" w:rsidR="00D306A1" w:rsidRPr="00093447" w:rsidRDefault="00D306A1" w:rsidP="004B53EB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Eventuais condicionantes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7A49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D98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E96D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FD5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3A6C6E5A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48E1" w14:textId="77777777" w:rsidR="00D306A1" w:rsidRDefault="00D306A1" w:rsidP="004B53EB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8BA07" w14:textId="77777777" w:rsidR="00D306A1" w:rsidRPr="00093447" w:rsidRDefault="00D306A1" w:rsidP="004B53EB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</w:t>
            </w:r>
            <w:r w:rsidRPr="004B53E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bjetivos e metas contratualizadas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- Indicadores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573A9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016C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5CC9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489C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4E8B8728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24FD4" w14:textId="77777777" w:rsidR="00D306A1" w:rsidRDefault="00D306A1" w:rsidP="004B53EB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D6FC0" w14:textId="644FE47D" w:rsidR="00D306A1" w:rsidRPr="004B53EB" w:rsidRDefault="007B1232" w:rsidP="004B53EB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Desvios passíveis de constituir </w:t>
            </w:r>
            <w:r w:rsidR="00D306A1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fundamento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(</w:t>
            </w:r>
            <w:r w:rsidR="00D306A1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)</w:t>
            </w:r>
            <w:r w:rsidR="00D306A1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para a redução do 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subsídio</w:t>
            </w:r>
            <w:r w:rsidR="00D306A1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, conforme estabelecido contratualmente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4FCC8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AF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C19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8C2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6B829B1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CFA13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27E00" w14:textId="77777777" w:rsidR="00D306A1" w:rsidRPr="004B53EB" w:rsidRDefault="00D306A1" w:rsidP="00A7390E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A7390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Submissão de relatórios de progresso/final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88A56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D1E4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111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68C1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17E2957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3A4AF" w14:textId="77777777" w:rsidR="00D306A1" w:rsidRDefault="00D306A1" w:rsidP="004B53EB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A54B9" w14:textId="67FD89EA" w:rsidR="005179FC" w:rsidRPr="005179FC" w:rsidRDefault="00D306A1" w:rsidP="00D255F5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Cumprimento das n</w:t>
            </w:r>
            <w:r w:rsidRPr="004B7964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ormas de publicidade e inform</w:t>
            </w:r>
            <w:r w:rsidR="005179FC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ação, </w:t>
            </w:r>
            <w:r w:rsidR="005179FC" w:rsidRPr="005179FC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(verificação, quando aplicável: página WEB, investimentos, ações e material de divulgação)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1025D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9CBA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57A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569D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1CD73979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B9957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68C87" w14:textId="04A0D58A" w:rsidR="00D306A1" w:rsidRPr="004B53EB" w:rsidRDefault="00D306A1" w:rsidP="004F01AA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B7964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Manutenção das condições de elegibilidade (situação contributiva e fiscal regular, durabilidade da </w:t>
            </w:r>
            <w:proofErr w:type="gramStart"/>
            <w:r w:rsidRPr="004B7964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operação, ….</w:t>
            </w:r>
            <w:proofErr w:type="gramEnd"/>
            <w:r w:rsidRPr="004B7964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9DC6E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2314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9C2C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F8A9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33E6262F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494C7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C4427" w14:textId="77777777" w:rsidR="00D306A1" w:rsidRPr="004B53EB" w:rsidRDefault="00D306A1" w:rsidP="00AC4AB7">
            <w:pPr>
              <w:spacing w:before="60" w:after="60" w:line="240" w:lineRule="auto"/>
              <w:ind w:left="709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B7964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Cumprimento das condições de financiamento (contratos de empréstimo/prestações suplementares/…)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F45EF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E3C1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1565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7299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2BE33CC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3A14F" w14:textId="77777777" w:rsidR="00D306A1" w:rsidRPr="0084572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00B12" w14:textId="77777777" w:rsidR="00D306A1" w:rsidRPr="004A31F3" w:rsidRDefault="00D306A1" w:rsidP="006173F4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Outras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5944C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EA85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D207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049F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7476F853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A053AC" w14:textId="77777777" w:rsidR="00D306A1" w:rsidRPr="00FA1DEF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C719" w14:textId="77777777" w:rsidR="00D306A1" w:rsidRPr="00AC4AB7" w:rsidRDefault="00D306A1" w:rsidP="00AC4AB7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0A7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Evidências da efetiva realização da despesa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0ED36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91672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EE77B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03523F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4A31F3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D306A1" w:rsidRPr="00407C5F" w14:paraId="4EB7D85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18642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8606E" w14:textId="77777777" w:rsidR="00D306A1" w:rsidRDefault="00D306A1" w:rsidP="00AD7A6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Construção</w:t>
            </w:r>
          </w:p>
          <w:p w14:paraId="10081642" w14:textId="77777777" w:rsidR="00D306A1" w:rsidRDefault="00D306A1" w:rsidP="00AD7A60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Verificação</w:t>
            </w:r>
            <w:r w:rsidR="0095466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física</w:t>
            </w:r>
          </w:p>
          <w:p w14:paraId="214AA198" w14:textId="77777777" w:rsidR="00D306A1" w:rsidRPr="004B53EB" w:rsidRDefault="00D306A1" w:rsidP="00AD7A60">
            <w:pPr>
              <w:spacing w:before="60" w:after="60" w:line="240" w:lineRule="auto"/>
              <w:ind w:left="708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Autos de Medição / Relatórios da fiscalização / </w:t>
            </w:r>
            <w:r w:rsidR="0095466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Autos de receção da obra/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5FFDD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8B3E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87B6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482E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638F9D59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25977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b.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F135B" w14:textId="77777777" w:rsidR="00D306A1" w:rsidRPr="00AC4AB7" w:rsidRDefault="00D306A1" w:rsidP="00AD7A6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AC4AB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Equipamentos</w:t>
            </w:r>
          </w:p>
          <w:p w14:paraId="3B765DE7" w14:textId="77777777" w:rsidR="004B165A" w:rsidRDefault="00D306A1" w:rsidP="004B165A">
            <w:pPr>
              <w:spacing w:before="60" w:after="60" w:line="240" w:lineRule="auto"/>
              <w:ind w:left="709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Verificar </w:t>
            </w:r>
            <w:r w:rsidR="0095466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física: confirmar m</w:t>
            </w:r>
            <w:r w:rsidRPr="00AC4AB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arca, modelo,</w:t>
            </w:r>
            <w:r w:rsidR="004B165A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n.º de série</w:t>
            </w:r>
          </w:p>
          <w:p w14:paraId="46FD4A93" w14:textId="77777777" w:rsidR="00D306A1" w:rsidRDefault="00D306A1" w:rsidP="004B165A">
            <w:pPr>
              <w:spacing w:before="60" w:after="60" w:line="240" w:lineRule="auto"/>
              <w:ind w:left="709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G</w:t>
            </w:r>
            <w:r w:rsidRPr="00AC4AB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uias d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e transporte / autos de receção / </w:t>
            </w:r>
            <w:r w:rsidR="004B165A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validação data entrega/…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2B334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CEE0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19F4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706C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D306A1" w:rsidRPr="00407C5F" w14:paraId="3DED102D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44F6D" w14:textId="77777777" w:rsidR="00D306A1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c.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7D83F" w14:textId="77777777" w:rsidR="00D306A1" w:rsidRPr="00AC4AB7" w:rsidRDefault="00D306A1" w:rsidP="00AD7A60">
            <w:pPr>
              <w:spacing w:before="60" w:after="6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AC4AB7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Ações de natureza imaterial</w:t>
            </w:r>
          </w:p>
          <w:p w14:paraId="3AEFC5F3" w14:textId="77777777" w:rsidR="00D306A1" w:rsidRPr="00AC4AB7" w:rsidRDefault="00D306A1" w:rsidP="007A3BFF">
            <w:pPr>
              <w:spacing w:before="60" w:after="60" w:line="240" w:lineRule="auto"/>
              <w:ind w:left="709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9F427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Documentos que permitam demonstrar a efetiva realização das ações</w:t>
            </w:r>
            <w:r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9F427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/ eventos ou serviços: materiais de promoção/divulgação, relatórios, estudos, projetos, fotografias,</w:t>
            </w:r>
            <w:r w:rsidR="007A3BF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correspondência, panfletos</w:t>
            </w:r>
            <w:r w:rsidR="003149D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, registo em feiras, vouchers</w:t>
            </w:r>
            <w:r w:rsidR="007A3BFF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 xml:space="preserve"> / </w:t>
            </w:r>
            <w:r w:rsidRPr="009F427E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9C5AF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8C37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D1F4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4B6A" w14:textId="77777777" w:rsidR="00D306A1" w:rsidRPr="004A31F3" w:rsidRDefault="00D306A1" w:rsidP="004F01A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667A22" w:rsidRPr="00407C5F" w14:paraId="293BEEA9" w14:textId="77777777" w:rsidTr="00A16A14">
        <w:trPr>
          <w:cantSplit/>
          <w:trHeight w:val="4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EB112" w14:textId="77777777" w:rsidR="00667A22" w:rsidRPr="00407C5F" w:rsidRDefault="00667A22" w:rsidP="00A16A1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17365D" w:themeColor="text2" w:themeShade="BF"/>
              </w:rPr>
              <w:t>REPROGRAMAÇÕES</w:t>
            </w:r>
          </w:p>
        </w:tc>
      </w:tr>
      <w:tr w:rsidR="00667A22" w:rsidRPr="00407C5F" w14:paraId="10BC73C0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F8B41" w14:textId="77777777" w:rsidR="00667A22" w:rsidRPr="00FA1DEF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A1DEF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2FDA" w14:textId="77777777" w:rsidR="00667A22" w:rsidRDefault="00667A22" w:rsidP="00A16A14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Pedido (s) de reprogramação submetido (s) e respetivos anexos</w:t>
            </w:r>
          </w:p>
          <w:p w14:paraId="340EA61F" w14:textId="77777777" w:rsidR="00667A22" w:rsidRPr="007A4BE9" w:rsidRDefault="00667A22" w:rsidP="00A16A14">
            <w:pPr>
              <w:spacing w:before="60" w:after="60" w:line="240" w:lineRule="auto"/>
              <w:jc w:val="both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</w:pPr>
            <w:r w:rsidRPr="007A4BE9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(sempre que se verifique algum desvio em relação ao aprovado, em matéria de execução da despesa, datas, 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objetivos do projeto, </w:t>
            </w:r>
            <w:r w:rsidRPr="007A4BE9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ou outro, o beneficiário deverá informar a AG/OI</w:t>
            </w:r>
            <w:r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>,</w:t>
            </w:r>
            <w:r w:rsidRPr="007A4BE9"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 aferindo a necessidade de um pedido de reprogramação)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CAA1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463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1E5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66B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667A22" w:rsidRPr="00407C5F" w14:paraId="2C870AA4" w14:textId="77777777" w:rsidTr="00667A22">
        <w:trPr>
          <w:cantSplit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14E2A" w14:textId="77777777" w:rsidR="00667A22" w:rsidRPr="00FA1DEF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A1DEF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6AB0" w14:textId="77777777" w:rsidR="00667A22" w:rsidRPr="00651429" w:rsidRDefault="00667A22" w:rsidP="00A16A14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651429">
              <w:rPr>
                <w:rFonts w:eastAsia="Times New Roman" w:cs="Times New Roman"/>
                <w:b/>
                <w:color w:val="404040" w:themeColor="text1" w:themeTint="BF"/>
                <w:sz w:val="18"/>
                <w:szCs w:val="18"/>
              </w:rPr>
              <w:t>Comprovativo (s) da aprovação do (s) pedido (s) de reprogramação e Adendas aos Termos de Aceitação/contratos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BC13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273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EB0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F4D" w14:textId="77777777" w:rsidR="00667A22" w:rsidRPr="00E623DB" w:rsidRDefault="00667A22" w:rsidP="00A16A1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</w:pPr>
            <w:r w:rsidRPr="00E623DB">
              <w:rPr>
                <w:rFonts w:eastAsia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</w:tbl>
    <w:p w14:paraId="448AA0B1" w14:textId="77777777" w:rsidR="00541DF8" w:rsidRPr="00407C5F" w:rsidRDefault="00541DF8" w:rsidP="00407C5F">
      <w:pPr>
        <w:spacing w:before="60" w:after="60" w:line="240" w:lineRule="auto"/>
        <w:jc w:val="both"/>
        <w:rPr>
          <w:sz w:val="18"/>
          <w:szCs w:val="18"/>
        </w:rPr>
      </w:pPr>
    </w:p>
    <w:sectPr w:rsidR="00541DF8" w:rsidRPr="00407C5F" w:rsidSect="006A78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5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0224" w14:textId="77777777" w:rsidR="005D1DB1" w:rsidRDefault="005D1DB1" w:rsidP="006B2540">
      <w:pPr>
        <w:spacing w:after="0" w:line="240" w:lineRule="auto"/>
      </w:pPr>
      <w:r>
        <w:separator/>
      </w:r>
    </w:p>
  </w:endnote>
  <w:endnote w:type="continuationSeparator" w:id="0">
    <w:p w14:paraId="1EC6BD8E" w14:textId="77777777" w:rsidR="005D1DB1" w:rsidRDefault="005D1DB1" w:rsidP="006B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20764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E10909" w14:textId="77777777" w:rsidR="004F01AA" w:rsidRPr="006A78A5" w:rsidRDefault="004F01AA">
        <w:pPr>
          <w:pStyle w:val="Rodap"/>
          <w:jc w:val="right"/>
          <w:rPr>
            <w:sz w:val="16"/>
          </w:rPr>
        </w:pPr>
        <w:r w:rsidRPr="006A78A5">
          <w:rPr>
            <w:sz w:val="16"/>
          </w:rPr>
          <w:fldChar w:fldCharType="begin"/>
        </w:r>
        <w:r w:rsidRPr="006A78A5">
          <w:rPr>
            <w:sz w:val="16"/>
          </w:rPr>
          <w:instrText>PAGE   \* MERGEFORMAT</w:instrText>
        </w:r>
        <w:r w:rsidRPr="006A78A5">
          <w:rPr>
            <w:sz w:val="16"/>
          </w:rPr>
          <w:fldChar w:fldCharType="separate"/>
        </w:r>
        <w:r w:rsidR="00470540">
          <w:rPr>
            <w:noProof/>
            <w:sz w:val="16"/>
          </w:rPr>
          <w:t>8</w:t>
        </w:r>
        <w:r w:rsidRPr="006A78A5">
          <w:rPr>
            <w:sz w:val="16"/>
          </w:rPr>
          <w:fldChar w:fldCharType="end"/>
        </w:r>
      </w:p>
    </w:sdtContent>
  </w:sdt>
  <w:p w14:paraId="6E248B5D" w14:textId="77777777" w:rsidR="004F01AA" w:rsidRDefault="004F01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D4D6" w14:textId="77777777" w:rsidR="004F01AA" w:rsidRDefault="004F01AA">
    <w:pPr>
      <w:pStyle w:val="Rodap"/>
      <w:jc w:val="right"/>
    </w:pPr>
  </w:p>
  <w:p w14:paraId="196CD822" w14:textId="77777777" w:rsidR="004F01AA" w:rsidRDefault="004F01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7940" w14:textId="77777777" w:rsidR="005D1DB1" w:rsidRDefault="005D1DB1" w:rsidP="006B2540">
      <w:pPr>
        <w:spacing w:after="0" w:line="240" w:lineRule="auto"/>
      </w:pPr>
      <w:r>
        <w:separator/>
      </w:r>
    </w:p>
  </w:footnote>
  <w:footnote w:type="continuationSeparator" w:id="0">
    <w:p w14:paraId="0AFCAF34" w14:textId="77777777" w:rsidR="005D1DB1" w:rsidRDefault="005D1DB1" w:rsidP="006B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25AA" w14:textId="7AAF5586" w:rsidR="004F01AA" w:rsidRDefault="004F01AA" w:rsidP="00FD30CC">
    <w:pPr>
      <w:pStyle w:val="Cabealho"/>
      <w:tabs>
        <w:tab w:val="clear" w:pos="4419"/>
        <w:tab w:val="clear" w:pos="8838"/>
        <w:tab w:val="left" w:pos="5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1221" w14:textId="43832D49" w:rsidR="00D255F5" w:rsidRDefault="004238D8">
    <w:pPr>
      <w:pStyle w:val="Cabealho"/>
    </w:pPr>
    <w:r>
      <w:rPr>
        <w:noProof/>
      </w:rPr>
      <w:drawing>
        <wp:inline distT="0" distB="0" distL="0" distR="0" wp14:anchorId="1A6D10EE" wp14:editId="652F31E8">
          <wp:extent cx="956945" cy="359410"/>
          <wp:effectExtent l="0" t="0" r="0" b="2540"/>
          <wp:docPr id="6" name="Imagem 5">
            <a:extLst xmlns:a="http://schemas.openxmlformats.org/drawingml/2006/main">
              <a:ext uri="{FF2B5EF4-FFF2-40B4-BE49-F238E27FC236}">
                <a16:creationId xmlns:a16="http://schemas.microsoft.com/office/drawing/2014/main" id="{3FAE1BC1-7FFD-4DFB-B330-E098E7119B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3FAE1BC1-7FFD-4DFB-B330-E098E7119B5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17F"/>
    <w:multiLevelType w:val="hybridMultilevel"/>
    <w:tmpl w:val="7F9C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02F1"/>
    <w:multiLevelType w:val="hybridMultilevel"/>
    <w:tmpl w:val="3346866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54D7A"/>
    <w:multiLevelType w:val="hybridMultilevel"/>
    <w:tmpl w:val="538C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F6F34"/>
    <w:multiLevelType w:val="hybridMultilevel"/>
    <w:tmpl w:val="538C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525C2"/>
    <w:multiLevelType w:val="hybridMultilevel"/>
    <w:tmpl w:val="538C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678DE"/>
    <w:multiLevelType w:val="hybridMultilevel"/>
    <w:tmpl w:val="4FF01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0EFE"/>
    <w:multiLevelType w:val="hybridMultilevel"/>
    <w:tmpl w:val="328EB874"/>
    <w:lvl w:ilvl="0" w:tplc="AA4A7D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63669D0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66990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F5005"/>
    <w:multiLevelType w:val="hybridMultilevel"/>
    <w:tmpl w:val="B99076D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A0"/>
    <w:rsid w:val="00013DF5"/>
    <w:rsid w:val="00014A7E"/>
    <w:rsid w:val="00066906"/>
    <w:rsid w:val="00086313"/>
    <w:rsid w:val="00093447"/>
    <w:rsid w:val="000B4185"/>
    <w:rsid w:val="000B4EC2"/>
    <w:rsid w:val="00101364"/>
    <w:rsid w:val="001139EB"/>
    <w:rsid w:val="0011604E"/>
    <w:rsid w:val="00120513"/>
    <w:rsid w:val="00133A1A"/>
    <w:rsid w:val="00135097"/>
    <w:rsid w:val="00141467"/>
    <w:rsid w:val="00146026"/>
    <w:rsid w:val="00153F3D"/>
    <w:rsid w:val="001547A6"/>
    <w:rsid w:val="00164E13"/>
    <w:rsid w:val="00174106"/>
    <w:rsid w:val="00185E6B"/>
    <w:rsid w:val="001953C0"/>
    <w:rsid w:val="001953E2"/>
    <w:rsid w:val="001A633E"/>
    <w:rsid w:val="001D2FC0"/>
    <w:rsid w:val="001E0EA7"/>
    <w:rsid w:val="001E417B"/>
    <w:rsid w:val="001F135C"/>
    <w:rsid w:val="00205289"/>
    <w:rsid w:val="002152F1"/>
    <w:rsid w:val="00220C56"/>
    <w:rsid w:val="00223A8C"/>
    <w:rsid w:val="00235298"/>
    <w:rsid w:val="00246CBA"/>
    <w:rsid w:val="0027659B"/>
    <w:rsid w:val="00285C48"/>
    <w:rsid w:val="00292BCD"/>
    <w:rsid w:val="00293201"/>
    <w:rsid w:val="00295E82"/>
    <w:rsid w:val="002977B8"/>
    <w:rsid w:val="002A293A"/>
    <w:rsid w:val="002D3D67"/>
    <w:rsid w:val="002D5653"/>
    <w:rsid w:val="002E3230"/>
    <w:rsid w:val="002F1629"/>
    <w:rsid w:val="003149DE"/>
    <w:rsid w:val="00315C60"/>
    <w:rsid w:val="00322376"/>
    <w:rsid w:val="00323387"/>
    <w:rsid w:val="00326EFB"/>
    <w:rsid w:val="0035332C"/>
    <w:rsid w:val="00360CC1"/>
    <w:rsid w:val="003961E5"/>
    <w:rsid w:val="0039762B"/>
    <w:rsid w:val="003A3D70"/>
    <w:rsid w:val="003A6B81"/>
    <w:rsid w:val="003B222D"/>
    <w:rsid w:val="003B5298"/>
    <w:rsid w:val="003C13BC"/>
    <w:rsid w:val="003C3406"/>
    <w:rsid w:val="003C6D60"/>
    <w:rsid w:val="003F08D2"/>
    <w:rsid w:val="00402530"/>
    <w:rsid w:val="00405907"/>
    <w:rsid w:val="00407C5F"/>
    <w:rsid w:val="00414BA5"/>
    <w:rsid w:val="004238D8"/>
    <w:rsid w:val="00453131"/>
    <w:rsid w:val="00470540"/>
    <w:rsid w:val="00477621"/>
    <w:rsid w:val="004A31F3"/>
    <w:rsid w:val="004B165A"/>
    <w:rsid w:val="004B1E29"/>
    <w:rsid w:val="004B3A2C"/>
    <w:rsid w:val="004B53EB"/>
    <w:rsid w:val="004B7964"/>
    <w:rsid w:val="004C4E05"/>
    <w:rsid w:val="004D7FC7"/>
    <w:rsid w:val="004F01AA"/>
    <w:rsid w:val="00504B4E"/>
    <w:rsid w:val="005107C5"/>
    <w:rsid w:val="005179FC"/>
    <w:rsid w:val="00522805"/>
    <w:rsid w:val="00524AD7"/>
    <w:rsid w:val="005402F5"/>
    <w:rsid w:val="00541DF8"/>
    <w:rsid w:val="00542EFB"/>
    <w:rsid w:val="005724B0"/>
    <w:rsid w:val="005754D2"/>
    <w:rsid w:val="005900AB"/>
    <w:rsid w:val="00590A30"/>
    <w:rsid w:val="005A31DB"/>
    <w:rsid w:val="005B1B0C"/>
    <w:rsid w:val="005B3590"/>
    <w:rsid w:val="005D1DB1"/>
    <w:rsid w:val="005D7508"/>
    <w:rsid w:val="005F362B"/>
    <w:rsid w:val="0060626E"/>
    <w:rsid w:val="00606C15"/>
    <w:rsid w:val="00615C81"/>
    <w:rsid w:val="006173F4"/>
    <w:rsid w:val="00631B8E"/>
    <w:rsid w:val="00651429"/>
    <w:rsid w:val="00667A22"/>
    <w:rsid w:val="00671B54"/>
    <w:rsid w:val="00686022"/>
    <w:rsid w:val="00687AE0"/>
    <w:rsid w:val="0069323F"/>
    <w:rsid w:val="0069401A"/>
    <w:rsid w:val="006A78A5"/>
    <w:rsid w:val="006B1B2D"/>
    <w:rsid w:val="006B2540"/>
    <w:rsid w:val="006B2B26"/>
    <w:rsid w:val="006C0B62"/>
    <w:rsid w:val="006C5717"/>
    <w:rsid w:val="006E6CDB"/>
    <w:rsid w:val="00701A07"/>
    <w:rsid w:val="00737C2F"/>
    <w:rsid w:val="00762E10"/>
    <w:rsid w:val="00773FA0"/>
    <w:rsid w:val="00780A1F"/>
    <w:rsid w:val="0079309C"/>
    <w:rsid w:val="00794C72"/>
    <w:rsid w:val="00797A72"/>
    <w:rsid w:val="007A065A"/>
    <w:rsid w:val="007A0EEC"/>
    <w:rsid w:val="007A3BFF"/>
    <w:rsid w:val="007A4BE9"/>
    <w:rsid w:val="007A71AF"/>
    <w:rsid w:val="007B1232"/>
    <w:rsid w:val="007B1C3D"/>
    <w:rsid w:val="007B2366"/>
    <w:rsid w:val="007C78CE"/>
    <w:rsid w:val="007D4B34"/>
    <w:rsid w:val="00802202"/>
    <w:rsid w:val="00805207"/>
    <w:rsid w:val="00806165"/>
    <w:rsid w:val="008109BA"/>
    <w:rsid w:val="00812C9D"/>
    <w:rsid w:val="00820E7C"/>
    <w:rsid w:val="00845721"/>
    <w:rsid w:val="00860F00"/>
    <w:rsid w:val="00861FCE"/>
    <w:rsid w:val="00864E59"/>
    <w:rsid w:val="00870A4B"/>
    <w:rsid w:val="00894889"/>
    <w:rsid w:val="008A08C6"/>
    <w:rsid w:val="008C5AD5"/>
    <w:rsid w:val="008C6C6C"/>
    <w:rsid w:val="008E0890"/>
    <w:rsid w:val="00905627"/>
    <w:rsid w:val="0091054A"/>
    <w:rsid w:val="00927045"/>
    <w:rsid w:val="00933801"/>
    <w:rsid w:val="00940FFC"/>
    <w:rsid w:val="0095466E"/>
    <w:rsid w:val="00961E76"/>
    <w:rsid w:val="0096287A"/>
    <w:rsid w:val="00965611"/>
    <w:rsid w:val="009700EE"/>
    <w:rsid w:val="00972575"/>
    <w:rsid w:val="00980AB2"/>
    <w:rsid w:val="00990EE5"/>
    <w:rsid w:val="00997CE4"/>
    <w:rsid w:val="009F427E"/>
    <w:rsid w:val="009F7431"/>
    <w:rsid w:val="00A13667"/>
    <w:rsid w:val="00A2092C"/>
    <w:rsid w:val="00A50D7E"/>
    <w:rsid w:val="00A52656"/>
    <w:rsid w:val="00A611E6"/>
    <w:rsid w:val="00A64D4C"/>
    <w:rsid w:val="00A7390E"/>
    <w:rsid w:val="00A8376A"/>
    <w:rsid w:val="00AB025F"/>
    <w:rsid w:val="00AC4AB7"/>
    <w:rsid w:val="00AD7A60"/>
    <w:rsid w:val="00AE6C01"/>
    <w:rsid w:val="00AF4888"/>
    <w:rsid w:val="00B00979"/>
    <w:rsid w:val="00B00F42"/>
    <w:rsid w:val="00B05ACB"/>
    <w:rsid w:val="00B11CD9"/>
    <w:rsid w:val="00B1749D"/>
    <w:rsid w:val="00B36178"/>
    <w:rsid w:val="00B420A7"/>
    <w:rsid w:val="00B42FFD"/>
    <w:rsid w:val="00B53085"/>
    <w:rsid w:val="00B538A6"/>
    <w:rsid w:val="00B633E0"/>
    <w:rsid w:val="00B65F4F"/>
    <w:rsid w:val="00B66CEE"/>
    <w:rsid w:val="00BA3599"/>
    <w:rsid w:val="00BB54ED"/>
    <w:rsid w:val="00BC3F1D"/>
    <w:rsid w:val="00BD3899"/>
    <w:rsid w:val="00BD674F"/>
    <w:rsid w:val="00BE6435"/>
    <w:rsid w:val="00BF0D8B"/>
    <w:rsid w:val="00BF4A82"/>
    <w:rsid w:val="00BF5659"/>
    <w:rsid w:val="00C0713B"/>
    <w:rsid w:val="00C20BBF"/>
    <w:rsid w:val="00C23B4F"/>
    <w:rsid w:val="00C265C1"/>
    <w:rsid w:val="00C449E8"/>
    <w:rsid w:val="00C62B18"/>
    <w:rsid w:val="00C75B32"/>
    <w:rsid w:val="00C81D11"/>
    <w:rsid w:val="00C836AC"/>
    <w:rsid w:val="00C90A3D"/>
    <w:rsid w:val="00C96F02"/>
    <w:rsid w:val="00CD5BF1"/>
    <w:rsid w:val="00CE0404"/>
    <w:rsid w:val="00CF2735"/>
    <w:rsid w:val="00CF343C"/>
    <w:rsid w:val="00D215F2"/>
    <w:rsid w:val="00D22B7C"/>
    <w:rsid w:val="00D255F5"/>
    <w:rsid w:val="00D2770E"/>
    <w:rsid w:val="00D306A1"/>
    <w:rsid w:val="00D31999"/>
    <w:rsid w:val="00D40FEC"/>
    <w:rsid w:val="00D4341F"/>
    <w:rsid w:val="00D51CBB"/>
    <w:rsid w:val="00D63EBA"/>
    <w:rsid w:val="00D7515C"/>
    <w:rsid w:val="00D77F1F"/>
    <w:rsid w:val="00DB536C"/>
    <w:rsid w:val="00DD1AA0"/>
    <w:rsid w:val="00DE1B2A"/>
    <w:rsid w:val="00DE5358"/>
    <w:rsid w:val="00DF304B"/>
    <w:rsid w:val="00E00F54"/>
    <w:rsid w:val="00E040C3"/>
    <w:rsid w:val="00E10FF9"/>
    <w:rsid w:val="00E1752B"/>
    <w:rsid w:val="00E623DB"/>
    <w:rsid w:val="00E80F82"/>
    <w:rsid w:val="00E952E7"/>
    <w:rsid w:val="00E96685"/>
    <w:rsid w:val="00EA4DAD"/>
    <w:rsid w:val="00EB2DC2"/>
    <w:rsid w:val="00EB6FB9"/>
    <w:rsid w:val="00EF0F37"/>
    <w:rsid w:val="00EF5196"/>
    <w:rsid w:val="00F273FE"/>
    <w:rsid w:val="00F278A9"/>
    <w:rsid w:val="00F4299B"/>
    <w:rsid w:val="00F464D0"/>
    <w:rsid w:val="00F5046A"/>
    <w:rsid w:val="00F61793"/>
    <w:rsid w:val="00F62589"/>
    <w:rsid w:val="00F63F67"/>
    <w:rsid w:val="00F653B1"/>
    <w:rsid w:val="00F67C39"/>
    <w:rsid w:val="00F701B7"/>
    <w:rsid w:val="00F93C65"/>
    <w:rsid w:val="00FA1DEF"/>
    <w:rsid w:val="00FA3B59"/>
    <w:rsid w:val="00FD30CC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98D73"/>
  <w15:docId w15:val="{821C6C55-2BE9-4D06-B1EC-F1CF921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73FA0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i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D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73FA0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773FA0"/>
    <w:rPr>
      <w:rFonts w:ascii="Arial" w:eastAsia="Times New Roman" w:hAnsi="Arial" w:cs="Arial"/>
      <w:i/>
      <w:sz w:val="24"/>
      <w:szCs w:val="24"/>
    </w:rPr>
  </w:style>
  <w:style w:type="table" w:styleId="TabelacomGrelha">
    <w:name w:val="Table Grid"/>
    <w:basedOn w:val="Tabelanormal"/>
    <w:uiPriority w:val="59"/>
    <w:rsid w:val="007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B254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B254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B2540"/>
    <w:rPr>
      <w:vertAlign w:val="superscri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D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7B1C3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C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6D60"/>
  </w:style>
  <w:style w:type="paragraph" w:styleId="Rodap">
    <w:name w:val="footer"/>
    <w:basedOn w:val="Normal"/>
    <w:link w:val="RodapCarter"/>
    <w:uiPriority w:val="99"/>
    <w:unhideWhenUsed/>
    <w:rsid w:val="003C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164F-D642-4368-A638-215F942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1360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Araujo</dc:creator>
  <cp:lastModifiedBy>Dina Ferreira</cp:lastModifiedBy>
  <cp:revision>4</cp:revision>
  <cp:lastPrinted>2018-01-11T10:35:00Z</cp:lastPrinted>
  <dcterms:created xsi:type="dcterms:W3CDTF">2019-11-07T14:58:00Z</dcterms:created>
  <dcterms:modified xsi:type="dcterms:W3CDTF">2019-11-07T15:13:00Z</dcterms:modified>
</cp:coreProperties>
</file>